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Организация сестринского дела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Организация сестринского дела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МОДЕЛИРОВАНИЕ ШТИФТОВО-КУЛЬТЕВОЙ ВКЛАДКИ ЛАБОРАТОРНЫМ МЕТОДОМ ЧАЩЕ ВСЕГО ПРОВОДИТСЯ НА МОДЕЛИ ИЗГОТОВЛЕННОЙ ИЗ ГИПСА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 класса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 класса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класса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 класса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 класса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АККРЕДИТУЕМЫЙ, ПРИЗНАННЫЙ АККРЕДИТАЦИОННОЙ КОМИССИЕЙ НЕ ПРОШЕДШИМ АККРЕДИТАЦИЮ СПЕЦИАЛИСТА ИЛИ ПРИЗНАННЫЙ АККРЕДИТАЦИОННОЙ ПОДКОМИССИЕЙ НЕ ПРОШЕДШИМ ЭТАП АККРЕДИТАЦИИ СПЕЦИАЛИСТА, ВПРАВЕ ПОДАТЬ ЖАЛОБУ НА СООТВЕТСТВУЮЩЕЕ РЕШЕНИЕ АККРЕДИТАЦИОННОЙ КОМИССИИ ИЛИ АККРЕДИТАЦИОННОЙ ПОДКОМИССИИ В АПЕЛЛЯЦИОННУЮ КОМИССИЮ В ТЕЧЕНИЕ ________РАБОЧИХ ДНЕЙ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ДЛЯ УКРЕПЛЕНИЯ ЭКЗОПРОТЕЗА НОСА ЛУЧШЕ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протез верхней челюсти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очки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пружины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клей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очки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НАЧАЛЬНЫЙ ВИД ПРЕДСТАВЛЕНИЯ РЕЗУЛЬТАТОВ НАУЧНО-ИССЛЕДОВАТЕЛЬСКОЙ РАБОТЫ В ПИСЬМЕННОЙ ФОРМЕ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дипломной работой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рефератом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портфолио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аттестационным листом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рефератом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ПРЕИМУЩЕСТВА ПЛАСТМАССОВЫХ МОСТОВИДНЫХ ПРОТЕЗОВ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простота изготовления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стираемость поверхности в ходе эксплуатации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гидроскопичность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выделение остаточного мономера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простота изготовления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 РАМКАХ БЕРЕЖЛИВОГО ПРОИЗВОДСТВА ОДНОЙ ИЗ ТЕХНОЛОГИЙ 5С ЯВЛЯЕТСЯ ВИЗУАЛИЗАЦИЯ УЛУЧШЕНИЙ, СОГЛАСНО КОТОРОЙ ИНФОРМАЦИЯ НА СТЕНДЕ ДОЛЖНА ОБНОВЛЯТЬСЯ НЕ РЕЖЕ 1 РАЗА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квартал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 неделю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год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месяц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неделю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«СЛАБАЯ» ЧАСТЬ ПРОТИВОРЕЧИЙ, ВЫНЕСЕННЫХ КАК ПРОБЛЕМА И СОСТАВЛЯЮЩИЕ ЦЕЛЬ ИССЛЕДОВАНИЯ,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предметом исследования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задачи исследования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новизной исследования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актуальностью проблемы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предметом исследования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СТРАХОВЩИКОМ ПО ОБЯЗАТЕЛЬНОМУ МЕДИЦИНСКОМУ СТРАХОВАНИЮ ЯВЛЯЕТСЯ _____ФОНД В РАМКАХ РЕАЛИЗАЦИИ БАЗОВОЙ ПРОГРАММЫ ОБЯЗАТЕЛЬНОГО МЕДИЦИНСКОГО СТРАХОВАНИЯ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территориальный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муниципальный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Федеральный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местный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Федеральный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ПОКАЗАТЕЛИ ВЛАЖНОСТИ В КАБИНЕТЕ, ГДЕ ХРАНЯТСЯ ЛЕКАРСТВЕННЫЕ СРЕДСТВА, РЕГИСТРИРУЮТСЯ МЕДИЦИНСКОЙ СЕСТРОЙ В ЖУРНАЛЕ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раз в 10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 раза в день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раз в неделю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ежедневно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ежедневно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ВРЕД, ПРИЧИНЕННЫЙ ЛИЧНОСТИ ИЛИ ИМУЩЕСТВУ ГРАЖДАНИНА, А ТАКЖЕ ВРЕД, ПРИЧИНЕННЫЙ ИМУЩЕСТВУ ЮРИДИЧЕСКОГО ЛИЦА, ПОДЛЕЖИТ ВОЗМЕЩЕНИЮ ЛИЦОМ, ПРИЧИНИВШИМ ВРЕД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солидарном объеме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 полном объеме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расширенном объеме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частичном объеме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полном объеме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