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Гистология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Гистология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КЛИНИКО-МОРФОЛОГИЧЕСКИЕ ОСОБЕННОСТИ ХРОНИЧЕСКОГО ГНОЙНОГО ВОСПАЛЕНИЯ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сопровождается развитием эмпиемы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сопровождается истощением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сопровождается развитием натечников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результате воспаления возникают свищевые ходы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результате воспаления возникают свищевые ходы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ФОРМАМИ ВИНЫ АДМИНИСТРАТИВНЫХ ПРАВОНАРУШЕНИЙ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легкомыслие, умысел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умысел, неосторожность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легкомыслие, небрежность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неосторожность, небрежность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умысел, неосторожность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ОСТЕОН СОСТОИТ ИЗ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прободающих коллагеновых волокон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концентрических вокругсосудистых костных пластинок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прободающих каналов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наружных общих пластинок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концентрических вокругсосудистых костных пластинок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РАБОТА С ИСПОЛЬЗОВАНИЕМ ВРЕДНЫХ ХИМИЧЕСКИХ ВЕЩЕСТВ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обычном помещении с приточно-вытяжной вентиляцией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специальном кабинете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вытяжном шкафу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вытяжном шкафу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ПРОБА, ИСПОЛЬЗУЕМАЯ ДЛЯ ОБНАРУЖЕНИЯ СЛЕДОВ КРОВИ НА ПРЕДМЕТАХ МЕДИЦИНСКОГО НАЗНАЧЕНИЯ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бензидиновая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азопирамовая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правильного нет ответа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фенолфталеиновая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азопирамовая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ТКАНЬ СТРОМЫ СЕЛЕЗЁНКИ ОБРАЗОВАНА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эпителиальной тканью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ретикулярной тканью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мышечной (гладкой) тканью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рыхлой соединительной тканью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ретикулярной тканью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ОДНИМ ИЗ КОМПОНЕНТОВ КОСТНОЙ ТКАНИ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коллагеновые волокна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ретикулярные волокна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эластичные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ретикулярные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коллагеновые волокна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МОРФОФУНКЦИОНАЛЬНЫЕ ОСОБЕННОСТИ ФИБРОБЛАСТОВ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активизируются в условиях гипоксии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содержат темные ядра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синтезируют фибриллярные белки и гликозаминогликаны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способны к движению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синтезируют фибриллярные белки и гликозаминогликаны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РЕЗУЛЬТАТ ОКРАСКИ ГЕМАТОК-ЭОЗИНОМ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ядро красное, цитоплазма жёлтая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ядро розовое, цитоплазма синяя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ядро синее, цитоплазма желтая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ядро синее, цитоплазма розовая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ядро синее, цитоплазма розовая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ДИФФЕРЕНЦИРОВАННЫМИ РАКАМИ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коллоидный рак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солидный рак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мелкоклеточный рак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плоскоклеточный ороговевающий рак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плоскоклеточный ороговевающий рак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