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Неонатология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Неонатология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ТОКСОПЛАЗМОЗЕ К ОКОНЧАТЕЛЬНЫМ ХОЗЯЕВАМ, В ОРГАНИЗМЕ КОТОРЫХ ОБРАЗУЮТСЯ ООЦИСТЫ,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крупный рогатый скот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представителей семейства кошачьих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домашнюю птицу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пресноводных ракообразных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представителей семейства кошачьих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СТАФИЛОКОККОВОМ КОНЪЮНКТИВИТЕ У НОВОРОЖДЕННОГО ВНЕГЛАЗНЫМ ПРОЯВЛЕНИЕМ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 пленок в носу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уретрит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энтерит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поражение кожи лба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поражение кожи лба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ПРОТИВОПОКАЗАНИЕМ К ВАКЦИНАЦИИ БЦЖ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задержка внутриутробного развития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масса тела при рождении менее 3500 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открытое овальное окно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острое заболевание и обострение хронического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острое заболевание и обострение хронического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СОГЛАСНО ПРИКАЗУ МИНЗДРАВА РОССИИ ОТ 25.10.2012 №442 СЛЕДУЕТ НАЧИНАТЬ ОБСЛЕДОВАТЬ НЕДОНОШЕННЫХ ГРУППЫ РИСКА ПО РАЗВИТИЮ РЕТИНОПАТИИ НОВОРОЖДЕННЫХ , РОЖДЕННЫХ НА СРОКЕ БОЛЕЕ 27 НЕДЕЛЬ В ВОЗРАСТЕ ______ НЕДЕЛЬ ЖИЗНИ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СИНДРОМЕ АСПИРАЦИИ МЕКОНИЯ У НОВОРОЖДЕННОГО КЛАПАННЫЙ МЕХАНИЗМ ОБСТРУКЦИИ МЕЛКИХ ДЫХАТЕЛЬНЫХ ПУТЕЙ ОБУСЛАВЛИВАЕТ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перерастяжение альвеол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снижение давления в сосудах 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растяжение стенок главных бронхов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снижение активности сурфактанта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перерастяжение альвеол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ВНЕГЛАЗНЫМ ПРОЯВЛЕНИЕМ ПРИ СТАФИЛОКОККОВОМ КОНЪЮНКТИВИТЕ У НОВОРОЖДЕННОГО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артроз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пленок в носу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поражение слизистой носа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поражение слизистой носа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ДИАГНОСТИКИ ПРОХОДИМОСТИ СЛЕЗООТВОДЯЩИХ ПУТЕЙ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рентгенографию лицевого скелета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пробу Ширмера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цветные пробы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магнитно-резонансную томографию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цветные пробы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ИЗОИММУНАЯ ТРОМБОЦИТОПЕНИЯ ПРЕДСТАВЛЯЕТ СОБОЙ ТРОМБОЦИТОПЕНИЮ, ОБУСЛОВЛЕННУЮ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наличием различных форм иммунных тромбоцитопений у матери новорожденного ребенка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тромболизисом тромбоцитов, нагруженных гаптенами лекарственного происхождения антителами ребенка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нарушением агрегационной функции тромбоцитов при нормальном или несколько повышенном содержании их в периферической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антигенной несовместимостью тромбоцитов плода и матери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антигенной несовместимостью тромбоцитов плода и матери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НЕОБХОДИМЫМ ОБЪЕМОМ ЗАМЕЩЕНИЯ КРОВИ ПРИ ПРОВЕДЕНИИ ОПЕРАЦИИ ЗАМЕННОГО ПЕРЕЛИВАНИЯ КРОВИ ДЛЯ НЕДОНОШЕННОГО РЕБЕНКА ЯВЛЯЕТСЯ (В МЛ/КГ)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130-140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170-180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170-180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ОСНОВНЫМ ОСЛОЖНЕНИЯМ ПРИ КЛИНИЧЕСКОЙ ФОРМЕ ВРОЖДЕННОЙ ЦИТОМЕГАЛОВИРУСНОЙ ИНФЕКЦИИ СО СТОРОНЫ ОРГАНА ЗРЕНИЯ У НОВОРОЖДЕННОГО РЕБЕНКА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аблефария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врожденный эктропион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косоглазие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амблиопия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косоглазие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