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Клиническая фармакология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Клиническая фармакология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ОСНОВНЫМ ФЕРМЕНТОМ МЕТАБОЛИЗМА ОМЕПРАЗОЛА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CYP2C19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CYP2B6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CYP2D6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CYP1A2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CYP2C19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ДЛЯ СТИМУЛЯЦИИ РОДОВОЙ ДЕЯТЕЛЬНОСТИ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хлорпротиксен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окситоцин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преднизолон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глибенкламид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окситоцин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РАЗВИТИИ ПОЧЕЧНОЙ НЕДОСТАТОЧНОСТИ ОПАСНО НАЗНАЧАТЬ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амоксициллин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пенициллин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гентамицин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пропранолол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гентамицин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ЛЕКАРСТВЕННЫМ ПРЕПАРАТОМ, ПРОТИВОПОКАЗАННЫМ ПРИ БЕРЕМЕННОСТИ,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амоксициллин/клавуланат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инсулин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азитромицин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глибенкламид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глибенкламид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ПРИМЕНЕНИЕ ИАПФ В СОЧЕТАНИИ СО СПИРОНОЛАКТОНОМ В ДОЗЕ БОЛЕЕ 25 МГ МОЖЕТ ПРИВЕСТИ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гиперкальциемии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гипернатриемии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гипермагниемии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гиперкалиемии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гиперкалиемии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ФЕНОТИП АЦЕТИЛИРОВАНИЯ У ПАЦИЕНТОВ С ТУБЕРКУЛЕЗОМ МОЖНО ОПРЕДЕЛИТЬ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MEGX-теста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изониазидового теста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антипиринового теста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лозартанового теста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изониазидового теста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ПРЕПАРАТОМ ВЫБОРА ДЛЯ ЛЕЧЕНИЯ САХАРНОГО ДИАБЕТА, ОСЛОЖНЁННОГО ТЯЖЁЛОЙ ПЕЧЁНОЧНОЙ И ПОЧЕЧНОЙ НЕДОСТАТОЧНОСТЬЮ,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дексаметазон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метформин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акарбоза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инсулин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инсулин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ЛЕКАРСТВЕННЫМ ПРЕПАРАТОМ, ВЫЗЫВАЮЩИМ ЖЕЛУДОЧКОВУЮ ТАХИКАРДИЮ ТИПА «TORSADE DE POINTES»,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магния сульфат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бисопролол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верапамил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прокаинамид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прокаинамид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МЕТОДОМ ФАРМАКОЭКОНОМИЧЕСКОГО АНАЛИЗА, КОТОРЫЙ ДАЁТ СВЕДЕНИЯ О ВЗАИМОСВЯЗИ ЭКОНОМИЧЕСКИХ И КЛИНИЧЕСКИХ КРИТЕРИЕВ, ЯВЛЯЕТСЯ АНАЛИЗ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«затраты – эффективность»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DDD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XYZ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АВС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«затраты – эффективность»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АТИПИЧНОЙ РЕАКЦИЕЙ НА ПЕРВОЕ ВВЕДЕНИЕ ЛЕКАРСТВЕННОГО СРЕДСТВА, ПРИМЕНЁННОГО В ТЕРАПЕВТИЧЕСКИХ ДОЗАХ, НЕ СВЯЗАННОЙ С ИММУННЫМИ РЕАКЦИЯМИ,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эмбриотоксичность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тератогенность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идиосинкразия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тахифилаксия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идиосинкразия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